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D6" w:rsidRPr="00C93197" w:rsidRDefault="00C93197">
      <w:pPr>
        <w:rPr>
          <w:b/>
          <w:lang w:val="fr-FR"/>
        </w:rPr>
      </w:pPr>
      <w:r w:rsidRPr="00C93197">
        <w:rPr>
          <w:b/>
          <w:lang w:val="fr-FR"/>
        </w:rPr>
        <w:t xml:space="preserve">Compte-rendu </w:t>
      </w:r>
      <w:proofErr w:type="spellStart"/>
      <w:r w:rsidRPr="00C93197">
        <w:rPr>
          <w:b/>
          <w:lang w:val="fr-FR"/>
        </w:rPr>
        <w:t>Persyval</w:t>
      </w:r>
      <w:proofErr w:type="spellEnd"/>
      <w:r w:rsidRPr="00C93197">
        <w:rPr>
          <w:b/>
          <w:lang w:val="fr-FR"/>
        </w:rPr>
        <w:t xml:space="preserve"> CEE</w:t>
      </w:r>
    </w:p>
    <w:p w:rsidR="00C93197" w:rsidRDefault="00C93197" w:rsidP="00C93197">
      <w:pPr>
        <w:jc w:val="both"/>
      </w:pPr>
      <w:r>
        <w:t>Circuit power consumption is closely related to d</w:t>
      </w:r>
      <w:r w:rsidRPr="00E01F40">
        <w:t>ata pr</w:t>
      </w:r>
      <w:r>
        <w:t>ocessing</w:t>
      </w:r>
      <w:r w:rsidRPr="00E01F40">
        <w:t xml:space="preserve">. </w:t>
      </w:r>
      <w:r>
        <w:t>T</w:t>
      </w:r>
      <w:r w:rsidRPr="000E6E90">
        <w:t xml:space="preserve">his </w:t>
      </w:r>
      <w:r>
        <w:t xml:space="preserve">observation is the foundation of </w:t>
      </w:r>
      <w:r>
        <w:t>our</w:t>
      </w:r>
      <w:r>
        <w:t xml:space="preserve"> new low-power approach based on a</w:t>
      </w:r>
      <w:r w:rsidRPr="000E6E90">
        <w:t xml:space="preserve"> non-uniform sampling </w:t>
      </w:r>
      <w:r>
        <w:t xml:space="preserve">scheme </w:t>
      </w:r>
      <w:r w:rsidRPr="000E6E90">
        <w:t xml:space="preserve">combined with asynchronous </w:t>
      </w:r>
      <w:r>
        <w:t xml:space="preserve">event-driven </w:t>
      </w:r>
      <w:r w:rsidRPr="000E6E90">
        <w:t>logic</w:t>
      </w:r>
      <w:r>
        <w:t>. This will be useful for handheld computing systems and mobile applications such as wireless solutions for telemetry and metering, medical implants</w:t>
      </w:r>
      <w:r>
        <w:t xml:space="preserve"> and more generally for “Internet of Things” applications</w:t>
      </w:r>
      <w:r>
        <w:t xml:space="preserve">. These applications required a very low level of consumption because they </w:t>
      </w:r>
      <w:r>
        <w:t xml:space="preserve">can </w:t>
      </w:r>
      <w:r>
        <w:t>remain active during several years. Our case study is applied to physiological signals used in a medical implant and shows a drastic reduction of the power consumption compared to the classical approach.</w:t>
      </w:r>
    </w:p>
    <w:p w:rsidR="00C93197" w:rsidRDefault="00C93197" w:rsidP="00C93197">
      <w:pPr>
        <w:keepNext/>
      </w:pPr>
      <w:r>
        <w:rPr>
          <w:noProof/>
        </w:rPr>
        <w:drawing>
          <wp:inline distT="0" distB="0" distL="0" distR="0" wp14:anchorId="2924E3D6" wp14:editId="074542D1">
            <wp:extent cx="5421085" cy="19116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3703" cy="1912571"/>
                    </a:xfrm>
                    <a:prstGeom prst="rect">
                      <a:avLst/>
                    </a:prstGeom>
                    <a:noFill/>
                  </pic:spPr>
                </pic:pic>
              </a:graphicData>
            </a:graphic>
          </wp:inline>
        </w:drawing>
      </w:r>
    </w:p>
    <w:p w:rsidR="00C93197" w:rsidRPr="00C93197" w:rsidRDefault="00C93197" w:rsidP="00C93197">
      <w:pPr>
        <w:pStyle w:val="Lgende"/>
      </w:pPr>
      <w:r>
        <w:t xml:space="preserve">Figure </w:t>
      </w:r>
      <w:r>
        <w:fldChar w:fldCharType="begin"/>
      </w:r>
      <w:r>
        <w:instrText xml:space="preserve"> SEQ Figure \* ARABIC </w:instrText>
      </w:r>
      <w:r>
        <w:fldChar w:fldCharType="separate"/>
      </w:r>
      <w:r>
        <w:rPr>
          <w:noProof/>
        </w:rPr>
        <w:t>1</w:t>
      </w:r>
      <w:r>
        <w:fldChar w:fldCharType="end"/>
      </w:r>
      <w:r>
        <w:t>: A-ADC and physiological signal pattern recognition Architecture</w:t>
      </w:r>
    </w:p>
    <w:p w:rsidR="00E35ABF" w:rsidRDefault="00E35ABF" w:rsidP="00E35ABF">
      <w:pPr>
        <w:ind w:firstLine="216"/>
        <w:jc w:val="both"/>
        <w:rPr>
          <w:rFonts w:eastAsia="MS Mincho"/>
        </w:rPr>
      </w:pPr>
      <w:r>
        <w:rPr>
          <w:rFonts w:eastAsia="MS Mincho"/>
        </w:rPr>
        <w:t xml:space="preserve">The circuit is designed </w:t>
      </w:r>
      <w:r w:rsidRPr="006F5E18">
        <w:rPr>
          <w:rFonts w:eastAsia="MS Mincho"/>
        </w:rPr>
        <w:t xml:space="preserve">to recognize </w:t>
      </w:r>
      <w:r>
        <w:rPr>
          <w:rFonts w:eastAsia="MS Mincho"/>
        </w:rPr>
        <w:t xml:space="preserve">a set of </w:t>
      </w:r>
      <w:r w:rsidRPr="006F5E18">
        <w:rPr>
          <w:rFonts w:eastAsia="MS Mincho"/>
        </w:rPr>
        <w:t xml:space="preserve">predefined </w:t>
      </w:r>
      <w:r>
        <w:rPr>
          <w:rFonts w:eastAsia="MS Mincho"/>
        </w:rPr>
        <w:t xml:space="preserve">physiological signal </w:t>
      </w:r>
      <w:r w:rsidRPr="006F5E18">
        <w:rPr>
          <w:rFonts w:eastAsia="MS Mincho"/>
        </w:rPr>
        <w:t>patterns</w:t>
      </w:r>
      <w:r>
        <w:rPr>
          <w:rFonts w:eastAsia="MS Mincho"/>
        </w:rPr>
        <w:t>. The pattern recognition is</w:t>
      </w:r>
      <w:r w:rsidRPr="006F5E18">
        <w:rPr>
          <w:rFonts w:eastAsia="MS Mincho"/>
        </w:rPr>
        <w:t xml:space="preserve"> </w:t>
      </w:r>
      <w:r>
        <w:rPr>
          <w:rFonts w:eastAsia="MS Mincho"/>
        </w:rPr>
        <w:t>performed thanks to</w:t>
      </w:r>
      <w:r w:rsidRPr="00C827FD">
        <w:rPr>
          <w:rFonts w:eastAsia="MS Mincho"/>
        </w:rPr>
        <w:t xml:space="preserve"> a non-uniform sampling sche</w:t>
      </w:r>
      <w:r>
        <w:rPr>
          <w:rFonts w:eastAsia="MS Mincho"/>
        </w:rPr>
        <w:t>m</w:t>
      </w:r>
      <w:r w:rsidRPr="00C827FD">
        <w:rPr>
          <w:rFonts w:eastAsia="MS Mincho"/>
        </w:rPr>
        <w:t xml:space="preserve">e (LCSS in </w:t>
      </w:r>
      <w:r>
        <w:rPr>
          <w:rFonts w:eastAsia="MS Mincho"/>
        </w:rPr>
        <w:t>this</w:t>
      </w:r>
      <w:r w:rsidRPr="00C827FD">
        <w:rPr>
          <w:rFonts w:eastAsia="MS Mincho"/>
        </w:rPr>
        <w:t xml:space="preserve"> case)</w:t>
      </w:r>
      <w:r>
        <w:rPr>
          <w:rFonts w:eastAsia="MS Mincho"/>
        </w:rPr>
        <w:t xml:space="preserve"> and an event-driven logic. The combination of the non-uniform sampling and of the event-driven logic allows to drastically reduce the number of samples and to only activate the computation when there is new data. </w:t>
      </w:r>
      <w:r>
        <w:rPr>
          <w:rFonts w:eastAsia="MS Mincho"/>
        </w:rPr>
        <w:t>T</w:t>
      </w:r>
      <w:r>
        <w:rPr>
          <w:rFonts w:eastAsia="MS Mincho"/>
        </w:rPr>
        <w:t>he gain is spectacular because we are able to gain two orders of magnitude on the power consumption just by sampling differently. Moreover, the</w:t>
      </w:r>
      <w:r w:rsidRPr="00C827FD">
        <w:rPr>
          <w:rFonts w:eastAsia="MS Mincho"/>
        </w:rPr>
        <w:t xml:space="preserve"> </w:t>
      </w:r>
      <w:r>
        <w:rPr>
          <w:rFonts w:eastAsia="MS Mincho"/>
        </w:rPr>
        <w:t>asynchronous processing is, in this case, simpler and another order of magnitude can be gained</w:t>
      </w:r>
      <w:r>
        <w:rPr>
          <w:rFonts w:eastAsia="MS Mincho"/>
        </w:rPr>
        <w:t xml:space="preserve"> (see)</w:t>
      </w:r>
      <w:r>
        <w:rPr>
          <w:rFonts w:eastAsia="MS Mincho"/>
        </w:rPr>
        <w:t xml:space="preserve">. </w:t>
      </w:r>
    </w:p>
    <w:p w:rsidR="00E35ABF" w:rsidRDefault="00E35ABF" w:rsidP="00E35ABF">
      <w:pPr>
        <w:pStyle w:val="Lgende"/>
        <w:keepNext/>
      </w:pPr>
      <w:r>
        <w:t xml:space="preserve">Table </w:t>
      </w:r>
      <w:r>
        <w:fldChar w:fldCharType="begin"/>
      </w:r>
      <w:r>
        <w:instrText xml:space="preserve"> SEQ Table \* ARABIC </w:instrText>
      </w:r>
      <w:r>
        <w:fldChar w:fldCharType="separate"/>
      </w:r>
      <w:r>
        <w:rPr>
          <w:noProof/>
        </w:rPr>
        <w:t>1</w:t>
      </w:r>
      <w:r>
        <w:fldChar w:fldCharType="end"/>
      </w:r>
      <w:r>
        <w:t>: Comparison between the asynchronous and synchronous approaches</w:t>
      </w:r>
    </w:p>
    <w:tbl>
      <w:tblPr>
        <w:tblW w:w="7120" w:type="dxa"/>
        <w:tblCellMar>
          <w:left w:w="0" w:type="dxa"/>
          <w:right w:w="0" w:type="dxa"/>
        </w:tblCellMar>
        <w:tblLook w:val="04A0" w:firstRow="1" w:lastRow="0" w:firstColumn="1" w:lastColumn="0" w:noHBand="0" w:noVBand="1"/>
      </w:tblPr>
      <w:tblGrid>
        <w:gridCol w:w="680"/>
        <w:gridCol w:w="980"/>
        <w:gridCol w:w="980"/>
        <w:gridCol w:w="1180"/>
        <w:gridCol w:w="1212"/>
        <w:gridCol w:w="992"/>
        <w:gridCol w:w="1096"/>
      </w:tblGrid>
      <w:tr w:rsidR="00E35ABF" w:rsidRPr="00E35ABF" w:rsidTr="00E35ABF">
        <w:trPr>
          <w:trHeight w:val="968"/>
        </w:trPr>
        <w:tc>
          <w:tcPr>
            <w:tcW w:w="680"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6"/>
              </w:rPr>
            </w:pPr>
            <w:r w:rsidRPr="00E35ABF">
              <w:rPr>
                <w:rFonts w:eastAsia="MS Mincho"/>
                <w:b/>
                <w:bCs/>
                <w:sz w:val="16"/>
              </w:rPr>
              <w:t>Set</w:t>
            </w:r>
          </w:p>
        </w:tc>
        <w:tc>
          <w:tcPr>
            <w:tcW w:w="980"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6"/>
              </w:rPr>
            </w:pPr>
            <w:r w:rsidRPr="00E35ABF">
              <w:rPr>
                <w:rFonts w:eastAsia="MS Mincho"/>
                <w:b/>
                <w:bCs/>
                <w:sz w:val="16"/>
              </w:rPr>
              <w:t>Time</w:t>
            </w:r>
            <w:r>
              <w:rPr>
                <w:rFonts w:eastAsia="MS Mincho"/>
                <w:b/>
                <w:bCs/>
                <w:sz w:val="16"/>
              </w:rPr>
              <w:t xml:space="preserve"> </w:t>
            </w:r>
            <w:r w:rsidRPr="00E35ABF">
              <w:rPr>
                <w:rFonts w:eastAsia="MS Mincho"/>
                <w:b/>
                <w:bCs/>
                <w:sz w:val="16"/>
              </w:rPr>
              <w:t xml:space="preserve"> (s)</w:t>
            </w:r>
          </w:p>
        </w:tc>
        <w:tc>
          <w:tcPr>
            <w:tcW w:w="980"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6"/>
              </w:rPr>
            </w:pPr>
            <w:r>
              <w:rPr>
                <w:rFonts w:eastAsia="MS Mincho"/>
                <w:b/>
                <w:bCs/>
                <w:sz w:val="16"/>
              </w:rPr>
              <w:t xml:space="preserve">Nb. </w:t>
            </w:r>
            <w:r w:rsidRPr="00E35ABF">
              <w:rPr>
                <w:rFonts w:eastAsia="MS Mincho"/>
                <w:b/>
                <w:bCs/>
                <w:sz w:val="16"/>
              </w:rPr>
              <w:t>of Sampl</w:t>
            </w:r>
            <w:r>
              <w:rPr>
                <w:rFonts w:eastAsia="MS Mincho"/>
                <w:b/>
                <w:bCs/>
                <w:sz w:val="16"/>
              </w:rPr>
              <w:t>es</w:t>
            </w:r>
          </w:p>
        </w:tc>
        <w:tc>
          <w:tcPr>
            <w:tcW w:w="1180"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3D0F9C" w:rsidP="00E35ABF">
            <w:pPr>
              <w:ind w:firstLine="216"/>
              <w:jc w:val="both"/>
              <w:rPr>
                <w:rFonts w:eastAsia="MS Mincho"/>
                <w:sz w:val="16"/>
              </w:rPr>
            </w:pPr>
            <w:r>
              <w:rPr>
                <w:rFonts w:eastAsia="MS Mincho"/>
                <w:b/>
                <w:bCs/>
                <w:sz w:val="16"/>
              </w:rPr>
              <w:t xml:space="preserve">% of synch. </w:t>
            </w:r>
            <w:r w:rsidR="00E35ABF">
              <w:rPr>
                <w:rFonts w:eastAsia="MS Mincho"/>
                <w:b/>
                <w:bCs/>
                <w:sz w:val="16"/>
              </w:rPr>
              <w:t xml:space="preserve">Samples </w:t>
            </w:r>
          </w:p>
        </w:tc>
        <w:tc>
          <w:tcPr>
            <w:tcW w:w="1212"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6"/>
              </w:rPr>
            </w:pPr>
            <w:r w:rsidRPr="00E35ABF">
              <w:rPr>
                <w:rFonts w:eastAsia="MS Mincho"/>
                <w:b/>
                <w:bCs/>
                <w:sz w:val="16"/>
              </w:rPr>
              <w:t xml:space="preserve">Energy </w:t>
            </w:r>
            <w:proofErr w:type="spellStart"/>
            <w:r w:rsidRPr="00E35ABF">
              <w:rPr>
                <w:rFonts w:eastAsia="MS Mincho"/>
                <w:b/>
                <w:bCs/>
                <w:sz w:val="16"/>
              </w:rPr>
              <w:t>nJ</w:t>
            </w:r>
            <w:proofErr w:type="spellEnd"/>
            <w:r w:rsidRPr="00E35ABF">
              <w:rPr>
                <w:rFonts w:eastAsia="MS Mincho"/>
                <w:b/>
                <w:bCs/>
                <w:sz w:val="16"/>
              </w:rPr>
              <w:t>/pattern</w:t>
            </w:r>
          </w:p>
        </w:tc>
        <w:tc>
          <w:tcPr>
            <w:tcW w:w="992"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6"/>
              </w:rPr>
            </w:pPr>
            <w:proofErr w:type="spellStart"/>
            <w:r w:rsidRPr="00E35ABF">
              <w:rPr>
                <w:rFonts w:eastAsia="MS Mincho"/>
                <w:b/>
                <w:bCs/>
                <w:sz w:val="16"/>
              </w:rPr>
              <w:t>pAh</w:t>
            </w:r>
            <w:proofErr w:type="spellEnd"/>
            <w:r w:rsidRPr="00E35ABF">
              <w:rPr>
                <w:rFonts w:eastAsia="MS Mincho"/>
                <w:b/>
                <w:bCs/>
                <w:sz w:val="16"/>
              </w:rPr>
              <w:t>/ pattern</w:t>
            </w:r>
          </w:p>
        </w:tc>
        <w:tc>
          <w:tcPr>
            <w:tcW w:w="1096" w:type="dxa"/>
            <w:tcBorders>
              <w:top w:val="single" w:sz="8" w:space="0" w:color="FFFFFF"/>
              <w:left w:val="single" w:sz="8" w:space="0" w:color="FFFFFF"/>
              <w:bottom w:val="single" w:sz="24"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6"/>
              </w:rPr>
            </w:pPr>
            <w:r w:rsidRPr="00E35ABF">
              <w:rPr>
                <w:rFonts w:eastAsia="MS Mincho"/>
                <w:b/>
                <w:bCs/>
                <w:sz w:val="16"/>
              </w:rPr>
              <w:t>Gain (%)</w:t>
            </w:r>
          </w:p>
        </w:tc>
      </w:tr>
      <w:tr w:rsidR="00E35ABF" w:rsidRPr="00E35ABF" w:rsidTr="00E35ABF">
        <w:trPr>
          <w:trHeight w:val="646"/>
        </w:trPr>
        <w:tc>
          <w:tcPr>
            <w:tcW w:w="680"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b/>
                <w:bCs/>
                <w:sz w:val="18"/>
              </w:rPr>
              <w:t>1</w:t>
            </w:r>
          </w:p>
        </w:tc>
        <w:tc>
          <w:tcPr>
            <w:tcW w:w="980"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38,3</w:t>
            </w:r>
          </w:p>
        </w:tc>
        <w:tc>
          <w:tcPr>
            <w:tcW w:w="980"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3830</w:t>
            </w:r>
          </w:p>
        </w:tc>
        <w:tc>
          <w:tcPr>
            <w:tcW w:w="1180"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1,4</w:t>
            </w:r>
          </w:p>
        </w:tc>
        <w:tc>
          <w:tcPr>
            <w:tcW w:w="1212"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3087</w:t>
            </w:r>
          </w:p>
        </w:tc>
        <w:tc>
          <w:tcPr>
            <w:tcW w:w="992"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259</w:t>
            </w:r>
          </w:p>
        </w:tc>
        <w:tc>
          <w:tcPr>
            <w:tcW w:w="1096" w:type="dxa"/>
            <w:tcBorders>
              <w:top w:val="single" w:sz="24"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lang w:val="es-CO"/>
              </w:rPr>
              <w:t>99,80</w:t>
            </w:r>
          </w:p>
        </w:tc>
      </w:tr>
      <w:tr w:rsidR="00E35ABF" w:rsidRPr="00E35ABF" w:rsidTr="00E35ABF">
        <w:trPr>
          <w:trHeight w:val="646"/>
        </w:trPr>
        <w:tc>
          <w:tcPr>
            <w:tcW w:w="6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b/>
                <w:bCs/>
                <w:sz w:val="18"/>
              </w:rPr>
              <w:t>2</w:t>
            </w:r>
          </w:p>
        </w:tc>
        <w:tc>
          <w:tcPr>
            <w:tcW w:w="9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1 14,6</w:t>
            </w:r>
          </w:p>
        </w:tc>
        <w:tc>
          <w:tcPr>
            <w:tcW w:w="9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11465</w:t>
            </w:r>
          </w:p>
        </w:tc>
        <w:tc>
          <w:tcPr>
            <w:tcW w:w="11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0,4</w:t>
            </w:r>
          </w:p>
        </w:tc>
        <w:tc>
          <w:tcPr>
            <w:tcW w:w="1212"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9236</w:t>
            </w:r>
          </w:p>
        </w:tc>
        <w:tc>
          <w:tcPr>
            <w:tcW w:w="992"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777</w:t>
            </w:r>
          </w:p>
        </w:tc>
        <w:tc>
          <w:tcPr>
            <w:tcW w:w="1096"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99,93</w:t>
            </w:r>
          </w:p>
        </w:tc>
      </w:tr>
      <w:tr w:rsidR="00E35ABF" w:rsidRPr="00E35ABF" w:rsidTr="00E35ABF">
        <w:trPr>
          <w:trHeight w:val="646"/>
        </w:trPr>
        <w:tc>
          <w:tcPr>
            <w:tcW w:w="6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b/>
                <w:bCs/>
                <w:sz w:val="18"/>
              </w:rPr>
              <w:t>3</w:t>
            </w:r>
          </w:p>
        </w:tc>
        <w:tc>
          <w:tcPr>
            <w:tcW w:w="9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54,5</w:t>
            </w:r>
          </w:p>
        </w:tc>
        <w:tc>
          <w:tcPr>
            <w:tcW w:w="9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5453</w:t>
            </w:r>
          </w:p>
        </w:tc>
        <w:tc>
          <w:tcPr>
            <w:tcW w:w="1180"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1,0</w:t>
            </w:r>
          </w:p>
        </w:tc>
        <w:tc>
          <w:tcPr>
            <w:tcW w:w="1212"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3182</w:t>
            </w:r>
          </w:p>
        </w:tc>
        <w:tc>
          <w:tcPr>
            <w:tcW w:w="992"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535</w:t>
            </w:r>
          </w:p>
        </w:tc>
        <w:tc>
          <w:tcPr>
            <w:tcW w:w="1096" w:type="dxa"/>
            <w:tcBorders>
              <w:top w:val="single" w:sz="8" w:space="0" w:color="FFFFFF"/>
              <w:left w:val="single" w:sz="8" w:space="0" w:color="FFFFFF"/>
              <w:bottom w:val="single" w:sz="8" w:space="0" w:color="FFFFFF"/>
              <w:right w:val="single" w:sz="8" w:space="0" w:color="FFFFFF"/>
            </w:tcBorders>
            <w:shd w:val="clear" w:color="auto" w:fill="FFD38E"/>
            <w:tcMar>
              <w:top w:w="15" w:type="dxa"/>
              <w:left w:w="70" w:type="dxa"/>
              <w:bottom w:w="0" w:type="dxa"/>
              <w:right w:w="70" w:type="dxa"/>
            </w:tcMar>
            <w:vAlign w:val="center"/>
            <w:hideMark/>
          </w:tcPr>
          <w:p w:rsidR="00000000" w:rsidRPr="00E35ABF" w:rsidRDefault="00E35ABF" w:rsidP="00E35ABF">
            <w:pPr>
              <w:ind w:firstLine="216"/>
              <w:jc w:val="both"/>
              <w:rPr>
                <w:rFonts w:eastAsia="MS Mincho"/>
                <w:sz w:val="18"/>
              </w:rPr>
            </w:pPr>
            <w:r w:rsidRPr="00E35ABF">
              <w:rPr>
                <w:rFonts w:eastAsia="MS Mincho"/>
                <w:sz w:val="18"/>
              </w:rPr>
              <w:t>99,84</w:t>
            </w:r>
          </w:p>
        </w:tc>
      </w:tr>
    </w:tbl>
    <w:p w:rsidR="00E35ABF" w:rsidRDefault="00E35ABF" w:rsidP="00E35ABF">
      <w:pPr>
        <w:ind w:firstLine="216"/>
        <w:jc w:val="both"/>
        <w:rPr>
          <w:rFonts w:eastAsia="MS Mincho"/>
        </w:rPr>
      </w:pPr>
    </w:p>
    <w:p w:rsidR="00C93197" w:rsidRDefault="00E35ABF" w:rsidP="00E35ABF">
      <w:pPr>
        <w:jc w:val="both"/>
      </w:pPr>
      <w:r>
        <w:rPr>
          <w:rFonts w:eastAsia="MS Mincho"/>
        </w:rPr>
        <w:t xml:space="preserve">This method is application and signal specific and such gains will not be obtained in any case. Nevertheless, we can claim that this approach should be considered case by case. This particular application highlights the potential in reducing the power consumption when </w:t>
      </w:r>
      <w:r w:rsidR="003D0F9C">
        <w:rPr>
          <w:rFonts w:eastAsia="MS Mincho"/>
        </w:rPr>
        <w:t>considering</w:t>
      </w:r>
      <w:r>
        <w:rPr>
          <w:rFonts w:eastAsia="MS Mincho"/>
        </w:rPr>
        <w:t xml:space="preserve"> the entire processing chain. This also points out that determining the appropriate sampling scheme is the key for drastically minimizing the power.</w:t>
      </w:r>
    </w:p>
    <w:p w:rsidR="00E35ABF" w:rsidRPr="004E29B0" w:rsidRDefault="004E29B0" w:rsidP="00C93197">
      <w:pPr>
        <w:jc w:val="both"/>
        <w:rPr>
          <w:b/>
        </w:rPr>
      </w:pPr>
      <w:r w:rsidRPr="004E29B0">
        <w:rPr>
          <w:b/>
        </w:rPr>
        <w:t>References</w:t>
      </w:r>
    </w:p>
    <w:p w:rsidR="004E29B0" w:rsidRDefault="004E29B0" w:rsidP="00C93197">
      <w:pPr>
        <w:jc w:val="both"/>
      </w:pPr>
      <w:proofErr w:type="spellStart"/>
      <w:r w:rsidRPr="00A85E9F">
        <w:rPr>
          <w:bCs/>
          <w:lang w:eastAsia="fr-FR"/>
        </w:rPr>
        <w:t>Tugdual</w:t>
      </w:r>
      <w:proofErr w:type="spellEnd"/>
      <w:r w:rsidRPr="00A85E9F">
        <w:rPr>
          <w:bCs/>
          <w:lang w:eastAsia="fr-FR"/>
        </w:rPr>
        <w:t xml:space="preserve"> Le </w:t>
      </w:r>
      <w:proofErr w:type="spellStart"/>
      <w:r w:rsidRPr="00A85E9F">
        <w:rPr>
          <w:bCs/>
          <w:lang w:eastAsia="fr-FR"/>
        </w:rPr>
        <w:t>Pelleter</w:t>
      </w:r>
      <w:proofErr w:type="spellEnd"/>
      <w:r w:rsidRPr="00A85E9F">
        <w:rPr>
          <w:bCs/>
          <w:lang w:eastAsia="fr-FR"/>
        </w:rPr>
        <w:t xml:space="preserve">, </w:t>
      </w:r>
      <w:proofErr w:type="spellStart"/>
      <w:r w:rsidRPr="00A85E9F">
        <w:rPr>
          <w:bCs/>
          <w:lang w:eastAsia="fr-FR"/>
        </w:rPr>
        <w:t>Taha</w:t>
      </w:r>
      <w:proofErr w:type="spellEnd"/>
      <w:r w:rsidRPr="00A85E9F">
        <w:rPr>
          <w:bCs/>
          <w:lang w:eastAsia="fr-FR"/>
        </w:rPr>
        <w:t xml:space="preserve"> </w:t>
      </w:r>
      <w:proofErr w:type="spellStart"/>
      <w:r w:rsidRPr="00A85E9F">
        <w:rPr>
          <w:bCs/>
          <w:lang w:eastAsia="fr-FR"/>
        </w:rPr>
        <w:t>Beyrouthy</w:t>
      </w:r>
      <w:proofErr w:type="spellEnd"/>
      <w:r w:rsidRPr="00A85E9F">
        <w:rPr>
          <w:bCs/>
          <w:lang w:eastAsia="fr-FR"/>
        </w:rPr>
        <w:t>, Robin Rolland-</w:t>
      </w:r>
      <w:proofErr w:type="spellStart"/>
      <w:r w:rsidRPr="00A85E9F">
        <w:rPr>
          <w:bCs/>
          <w:lang w:eastAsia="fr-FR"/>
        </w:rPr>
        <w:t>Girod</w:t>
      </w:r>
      <w:proofErr w:type="spellEnd"/>
      <w:r w:rsidRPr="00A85E9F">
        <w:rPr>
          <w:bCs/>
          <w:lang w:eastAsia="fr-FR"/>
        </w:rPr>
        <w:t xml:space="preserve">, </w:t>
      </w:r>
      <w:proofErr w:type="spellStart"/>
      <w:r w:rsidRPr="00A85E9F">
        <w:rPr>
          <w:bCs/>
          <w:lang w:eastAsia="fr-FR"/>
        </w:rPr>
        <w:t>Agnès</w:t>
      </w:r>
      <w:proofErr w:type="spellEnd"/>
      <w:r w:rsidRPr="00A85E9F">
        <w:rPr>
          <w:bCs/>
          <w:lang w:eastAsia="fr-FR"/>
        </w:rPr>
        <w:t xml:space="preserve"> </w:t>
      </w:r>
      <w:proofErr w:type="spellStart"/>
      <w:r w:rsidRPr="00A85E9F">
        <w:rPr>
          <w:bCs/>
          <w:lang w:eastAsia="fr-FR"/>
        </w:rPr>
        <w:t>Bonvilain</w:t>
      </w:r>
      <w:proofErr w:type="spellEnd"/>
      <w:r w:rsidRPr="00A85E9F">
        <w:rPr>
          <w:bCs/>
          <w:lang w:eastAsia="fr-FR"/>
        </w:rPr>
        <w:t xml:space="preserve">, Laurent </w:t>
      </w:r>
      <w:proofErr w:type="spellStart"/>
      <w:r w:rsidRPr="00A85E9F">
        <w:rPr>
          <w:bCs/>
          <w:lang w:eastAsia="fr-FR"/>
        </w:rPr>
        <w:t>Fesquet</w:t>
      </w:r>
      <w:proofErr w:type="spellEnd"/>
      <w:r w:rsidRPr="00A85E9F">
        <w:rPr>
          <w:bCs/>
          <w:lang w:eastAsia="fr-FR"/>
        </w:rPr>
        <w:t>, “Non-uniform Sampling Pattern Recognition Based on Atomic Decomposition”, 10th International Conference on Sampling Theory and Applications (</w:t>
      </w:r>
      <w:proofErr w:type="spellStart"/>
      <w:r w:rsidRPr="00A85E9F">
        <w:rPr>
          <w:bCs/>
          <w:lang w:eastAsia="fr-FR"/>
        </w:rPr>
        <w:t>SampTA</w:t>
      </w:r>
      <w:proofErr w:type="spellEnd"/>
      <w:r w:rsidRPr="00A85E9F">
        <w:rPr>
          <w:bCs/>
          <w:lang w:eastAsia="fr-FR"/>
        </w:rPr>
        <w:t xml:space="preserve"> 2013), Jacobs University, Bremen, July 1st - July 5th, 2013</w:t>
      </w:r>
    </w:p>
    <w:p w:rsidR="00C93197" w:rsidRPr="00C93197" w:rsidRDefault="00C93197" w:rsidP="00C93197">
      <w:pPr>
        <w:jc w:val="both"/>
      </w:pPr>
    </w:p>
    <w:sectPr w:rsidR="00C93197" w:rsidRPr="00C9319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97"/>
    <w:rsid w:val="002C4D3A"/>
    <w:rsid w:val="003D0F9C"/>
    <w:rsid w:val="004E29B0"/>
    <w:rsid w:val="008500C4"/>
    <w:rsid w:val="008E4DB2"/>
    <w:rsid w:val="00C93197"/>
    <w:rsid w:val="00E3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3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197"/>
    <w:rPr>
      <w:rFonts w:ascii="Tahoma" w:hAnsi="Tahoma" w:cs="Tahoma"/>
      <w:sz w:val="16"/>
      <w:szCs w:val="16"/>
    </w:rPr>
  </w:style>
  <w:style w:type="paragraph" w:styleId="Lgende">
    <w:name w:val="caption"/>
    <w:basedOn w:val="Normal"/>
    <w:next w:val="Normal"/>
    <w:uiPriority w:val="35"/>
    <w:unhideWhenUsed/>
    <w:qFormat/>
    <w:rsid w:val="00C9319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31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3197"/>
    <w:rPr>
      <w:rFonts w:ascii="Tahoma" w:hAnsi="Tahoma" w:cs="Tahoma"/>
      <w:sz w:val="16"/>
      <w:szCs w:val="16"/>
    </w:rPr>
  </w:style>
  <w:style w:type="paragraph" w:styleId="Lgende">
    <w:name w:val="caption"/>
    <w:basedOn w:val="Normal"/>
    <w:next w:val="Normal"/>
    <w:uiPriority w:val="35"/>
    <w:unhideWhenUsed/>
    <w:qFormat/>
    <w:rsid w:val="00C93197"/>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3C97F-C310-4E16-AF47-DB25A69CF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373</Words>
  <Characters>2130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Fesquet</dc:creator>
  <cp:lastModifiedBy>Laurent Fesquet</cp:lastModifiedBy>
  <cp:revision>4</cp:revision>
  <dcterms:created xsi:type="dcterms:W3CDTF">2014-02-27T21:29:00Z</dcterms:created>
  <dcterms:modified xsi:type="dcterms:W3CDTF">2014-02-27T21:53:00Z</dcterms:modified>
</cp:coreProperties>
</file>